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Обгрунтування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(відповідно до пункту 4</w:t>
      </w:r>
      <w:r>
        <w:rPr>
          <w:sz w:val="22"/>
          <w:szCs w:val="22"/>
          <w:vertAlign w:val="superscript"/>
        </w:rPr>
        <w:t xml:space="preserve">1 </w:t>
      </w:r>
      <w:r>
        <w:rPr>
          <w:sz w:val="22"/>
          <w:szCs w:val="22"/>
        </w:rPr>
        <w:t>постанови КМУ від 11.10.2016 № 710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«Про ефективне використання державних коштів»)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Процедура закупівлі: </w:t>
      </w:r>
      <w:r>
        <w:rPr>
          <w:sz w:val="22"/>
          <w:szCs w:val="22"/>
        </w:rPr>
        <w:t xml:space="preserve">Відкриті торги </w:t>
      </w:r>
      <w:r>
        <w:rPr>
          <w:rFonts w:eastAsia="Times New Roman" w:cs="Times New Roman"/>
          <w:color w:val="auto"/>
          <w:kern w:val="0"/>
          <w:sz w:val="22"/>
          <w:szCs w:val="22"/>
          <w:lang w:val="uk-UA" w:eastAsia="ar-SA" w:bidi="ar-SA"/>
        </w:rPr>
        <w:t>з особливостями</w:t>
      </w:r>
      <w:r>
        <w:rPr>
          <w:sz w:val="22"/>
          <w:szCs w:val="22"/>
        </w:rPr>
        <w:t>.</w:t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b/>
          <w:sz w:val="22"/>
          <w:szCs w:val="22"/>
        </w:rPr>
        <w:t xml:space="preserve">Назва закупівлі: </w:t>
      </w:r>
      <w:r>
        <w:rPr>
          <w:rStyle w:val="Style15"/>
          <w:rFonts w:eastAsia="TimesNewRoman;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3"/>
          <w:kern w:val="2"/>
          <w:position w:val="0"/>
          <w:sz w:val="22"/>
          <w:sz w:val="22"/>
          <w:szCs w:val="22"/>
          <w:u w:val="none"/>
          <w:shd w:fill="FFFFFF" w:val="clear"/>
          <w:vertAlign w:val="baseline"/>
          <w:lang w:val="uk-UA" w:eastAsia="uk-UA" w:bidi="ar-SA"/>
        </w:rPr>
        <w:t>Будівництво захисної споруди цивільного захисту протирадіаційного укриття Прилуцького ліцею №13 імені Святителя Іоасафа Бєлгородського Прилуцької міської ради Чернігівської області за адресою: вул.Сорочинська, 36, м.Прилуки, Чернігівська область»</w:t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rStyle w:val="Style15"/>
          <w:rFonts w:eastAsia="TimesNewRoman;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3"/>
          <w:kern w:val="2"/>
          <w:position w:val="0"/>
          <w:sz w:val="22"/>
          <w:sz w:val="22"/>
          <w:szCs w:val="22"/>
          <w:u w:val="none"/>
          <w:shd w:fill="FFFFFF" w:val="clear"/>
          <w:vertAlign w:val="baseline"/>
          <w:lang w:val="uk-UA" w:eastAsia="uk-UA" w:bidi="ar-SA"/>
        </w:rPr>
        <w:t>(ДК 021:2015: 45210000-2  Будівництво будівель )</w:t>
      </w:r>
    </w:p>
    <w:p>
      <w:pPr>
        <w:pStyle w:val="Normal"/>
        <w:jc w:val="both"/>
        <w:rPr/>
      </w:pPr>
      <w:r>
        <w:rPr>
          <w:b/>
          <w:bCs/>
          <w:sz w:val="22"/>
          <w:szCs w:val="22"/>
        </w:rPr>
        <w:t xml:space="preserve">Ідентифікатор закупівлі: </w:t>
      </w:r>
      <w:r>
        <w:rPr>
          <w:sz w:val="22"/>
          <w:szCs w:val="22"/>
          <w:lang w:val="en-US"/>
        </w:rPr>
        <w:t>UA-202</w:t>
      </w:r>
      <w:r>
        <w:rPr>
          <w:rFonts w:eastAsia="Times New Roman" w:cs="Times New Roman"/>
          <w:color w:val="auto"/>
          <w:kern w:val="0"/>
          <w:sz w:val="22"/>
          <w:szCs w:val="22"/>
          <w:lang w:val="en-US" w:eastAsia="ar-SA" w:bidi="ar-SA"/>
        </w:rPr>
        <w:t>4</w:t>
      </w:r>
      <w:r>
        <w:rPr>
          <w:sz w:val="22"/>
          <w:szCs w:val="22"/>
          <w:lang w:val="en-US"/>
        </w:rPr>
        <w:t>-0</w:t>
      </w:r>
      <w:r>
        <w:rPr>
          <w:sz w:val="22"/>
          <w:szCs w:val="22"/>
          <w:lang w:val="uk-UA"/>
        </w:rPr>
        <w:t>9-</w:t>
      </w:r>
      <w:r>
        <w:rPr>
          <w:sz w:val="22"/>
          <w:szCs w:val="22"/>
          <w:lang w:val="uk-UA"/>
        </w:rPr>
        <w:t>16</w:t>
      </w:r>
      <w:r>
        <w:rPr>
          <w:sz w:val="22"/>
          <w:szCs w:val="22"/>
          <w:lang w:val="uk-UA"/>
        </w:rPr>
        <w:t>-0</w:t>
      </w:r>
      <w:r>
        <w:rPr>
          <w:sz w:val="22"/>
          <w:szCs w:val="22"/>
          <w:lang w:val="uk-UA"/>
        </w:rPr>
        <w:t>11706-</w:t>
      </w:r>
      <w:r>
        <w:rPr>
          <w:sz w:val="22"/>
          <w:szCs w:val="22"/>
          <w:lang w:val="uk-UA"/>
        </w:rPr>
        <w:t>а</w:t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b/>
          <w:sz w:val="22"/>
          <w:szCs w:val="22"/>
        </w:rPr>
        <w:t xml:space="preserve">Очікувана вартість предмета закупівлі: </w:t>
      </w:r>
      <w:r>
        <w:rPr>
          <w:rStyle w:val="Style14"/>
          <w:rFonts w:eastAsia="Times New Roman" w:cs="Times New Roman"/>
          <w:b w:val="false"/>
          <w:bCs w:val="false"/>
          <w:i/>
          <w:iCs/>
          <w:color w:val="000000"/>
          <w:kern w:val="0"/>
          <w:sz w:val="22"/>
          <w:szCs w:val="22"/>
          <w:shd w:fill="FFFFFF" w:val="clear"/>
          <w:lang w:val="uk-UA" w:eastAsia="ar-SA" w:bidi="ar-SA"/>
        </w:rPr>
        <w:t>24 822 598 ,00</w:t>
      </w:r>
      <w:r>
        <w:rPr>
          <w:rStyle w:val="Style14"/>
          <w:rFonts w:cs="Times New Roman"/>
          <w:b w:val="false"/>
          <w:bCs w:val="false"/>
          <w:iCs/>
          <w:color w:val="000000"/>
          <w:sz w:val="22"/>
          <w:szCs w:val="22"/>
          <w:shd w:fill="FFFFFF" w:val="clear"/>
          <w:lang w:val="uk-UA" w:eastAsia="ru-RU"/>
        </w:rPr>
        <w:t xml:space="preserve"> </w:t>
      </w:r>
      <w:r>
        <w:rPr>
          <w:rStyle w:val="Style14"/>
          <w:rFonts w:cs="Times New Roman"/>
          <w:b w:val="false"/>
          <w:bCs w:val="false"/>
          <w:color w:val="000000"/>
          <w:sz w:val="22"/>
          <w:szCs w:val="22"/>
          <w:shd w:fill="FFFFFF" w:val="clear"/>
          <w:lang w:val="uk-UA" w:eastAsia="ru-RU"/>
        </w:rPr>
        <w:t>грн</w:t>
      </w:r>
      <w:r>
        <w:rPr>
          <w:b w:val="false"/>
          <w:bCs w:val="false"/>
          <w:sz w:val="22"/>
          <w:szCs w:val="22"/>
        </w:rPr>
        <w:t>.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Обгрунтування розміру бюджетного призначення: </w:t>
      </w:r>
      <w:r>
        <w:rPr>
          <w:sz w:val="22"/>
          <w:szCs w:val="22"/>
        </w:rPr>
        <w:t xml:space="preserve">розмір бюджетного призначення визначений відповідно до </w:t>
      </w:r>
      <w:r>
        <w:rPr>
          <w:sz w:val="22"/>
          <w:szCs w:val="22"/>
        </w:rPr>
        <w:t xml:space="preserve">розробленої та затвердженої проектно-кошторисної документації, а також рішення виконавчого комітету Прилуцької міської ради від 03.09.2024 №287 «Про зміни бюджетних призначень та виділення коштів бюджету міської територіальної громади». 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Обгрунтування технічних та якісних характеристик предмета закупівлі:</w:t>
      </w:r>
      <w:r>
        <w:rPr>
          <w:b/>
          <w:color w:val="auto"/>
          <w:sz w:val="22"/>
          <w:szCs w:val="22"/>
        </w:rPr>
        <w:t xml:space="preserve"> </w:t>
      </w:r>
      <w:r>
        <w:rPr>
          <w:b w:val="false"/>
          <w:bCs w:val="false"/>
          <w:color w:val="auto"/>
          <w:sz w:val="22"/>
          <w:szCs w:val="22"/>
        </w:rPr>
        <w:t>технічні та якісні характеристики предмету закупівлі визначені відповідно до розробленої та затвердженої проектної документації. Проектна документація пройшла експертизу, за результатами якої отримано позитивний експертний висновок. В проектній документації міститься детальний опис робіт, що закуповуються, технічні вимоги, обсяги та види цих робіт.</w:t>
      </w:r>
    </w:p>
    <w:p>
      <w:pPr>
        <w:pStyle w:val="Normal"/>
        <w:tabs>
          <w:tab w:val="clear" w:pos="709"/>
          <w:tab w:val="left" w:pos="284" w:leader="none"/>
          <w:tab w:val="left" w:pos="1134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 w:val="false"/>
          <w:bCs w:val="false"/>
          <w:sz w:val="24"/>
          <w:szCs w:val="24"/>
        </w:rPr>
        <w:t xml:space="preserve">Місце виконання робіт: </w:t>
      </w:r>
      <w:r>
        <w:rPr>
          <w:rFonts w:cs="Times New Roman"/>
          <w:b w:val="false"/>
          <w:bCs w:val="false"/>
          <w:color w:val="000000"/>
          <w:sz w:val="24"/>
          <w:szCs w:val="24"/>
        </w:rPr>
        <w:t>Чернігівська область, м. Прилуки, вул.Сорочинська, 36</w:t>
      </w:r>
    </w:p>
    <w:p>
      <w:pPr>
        <w:pStyle w:val="Normal"/>
        <w:tabs>
          <w:tab w:val="clear" w:pos="709"/>
          <w:tab w:val="left" w:pos="284" w:leader="none"/>
          <w:tab w:val="left" w:pos="1134" w:leader="none"/>
        </w:tabs>
        <w:rPr>
          <w:b w:val="false"/>
          <w:bCs w:val="false"/>
        </w:rPr>
      </w:pPr>
      <w:r>
        <w:rPr>
          <w:rFonts w:cs="Times New Roman"/>
          <w:b w:val="false"/>
          <w:bCs w:val="false"/>
          <w:sz w:val="24"/>
          <w:szCs w:val="24"/>
        </w:rPr>
        <w:tab/>
        <w:t>Строк виконання робіт: до 01 липня 2025 р.</w:t>
      </w:r>
    </w:p>
    <w:p>
      <w:pPr>
        <w:pStyle w:val="Normal"/>
        <w:shd w:val="clear" w:color="auto" w:fill="FFFFFF"/>
        <w:tabs>
          <w:tab w:val="clear" w:pos="709"/>
          <w:tab w:val="left" w:pos="284" w:leader="none"/>
          <w:tab w:val="left" w:pos="1134" w:leader="none"/>
        </w:tabs>
        <w:rPr>
          <w:b w:val="false"/>
          <w:bCs w:val="false"/>
        </w:rPr>
      </w:pPr>
      <w:r>
        <w:rPr>
          <w:rFonts w:cs="Times New Roman"/>
          <w:b w:val="false"/>
          <w:bCs w:val="false"/>
          <w:sz w:val="24"/>
          <w:szCs w:val="24"/>
        </w:rPr>
        <w:tab/>
        <w:t>Клас наслідків робіт:  СС2.</w:t>
      </w:r>
    </w:p>
    <w:p>
      <w:pPr>
        <w:pStyle w:val="Normal"/>
        <w:shd w:val="clear" w:color="auto" w:fill="FFFFFF"/>
        <w:tabs>
          <w:tab w:val="clear" w:pos="709"/>
          <w:tab w:val="left" w:pos="284" w:leader="none"/>
          <w:tab w:val="left" w:pos="1134" w:leader="none"/>
        </w:tabs>
        <w:rPr>
          <w:b w:val="false"/>
          <w:bCs w:val="false"/>
        </w:rPr>
      </w:pPr>
      <w:r>
        <w:rPr>
          <w:rFonts w:cs="Times New Roman"/>
          <w:b w:val="false"/>
          <w:bCs w:val="false"/>
          <w:sz w:val="24"/>
          <w:szCs w:val="24"/>
        </w:rPr>
        <w:tab/>
        <w:t>Відомість обсягів робіт додається в окремих файлах;</w:t>
      </w:r>
    </w:p>
    <w:p>
      <w:pPr>
        <w:pStyle w:val="Normal"/>
        <w:shd w:val="clear" w:color="auto" w:fill="FFFFFF"/>
        <w:tabs>
          <w:tab w:val="clear" w:pos="709"/>
          <w:tab w:val="left" w:pos="284" w:leader="none"/>
          <w:tab w:val="left" w:pos="1134" w:leader="none"/>
        </w:tabs>
        <w:rPr>
          <w:b w:val="false"/>
          <w:bCs w:val="false"/>
        </w:rPr>
      </w:pPr>
      <w:r>
        <w:rPr>
          <w:rFonts w:cs="Times New Roman"/>
          <w:b w:val="false"/>
          <w:bCs w:val="false"/>
          <w:sz w:val="24"/>
          <w:szCs w:val="24"/>
        </w:rPr>
        <w:tab/>
        <w:t>Відомість обсягів ресурсів додається в окремому файлі.</w:t>
      </w:r>
    </w:p>
    <w:p>
      <w:pPr>
        <w:pStyle w:val="Normal"/>
        <w:spacing w:lineRule="exact" w:line="240"/>
        <w:ind w:firstLine="709"/>
        <w:jc w:val="both"/>
        <w:rPr>
          <w:rFonts w:ascii="Times New Roman" w:hAnsi="Times New Roman"/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Учасник</w:t>
      </w:r>
      <w:r>
        <w:rPr>
          <w:color w:themeColor="text1" w:val="000000"/>
          <w:sz w:val="24"/>
          <w:szCs w:val="24"/>
        </w:rPr>
        <w:t>и</w:t>
      </w:r>
      <w:r>
        <w:rPr>
          <w:color w:themeColor="text1" w:val="000000"/>
          <w:sz w:val="24"/>
          <w:szCs w:val="24"/>
        </w:rPr>
        <w:t xml:space="preserve"> процедури закупівлі повинні надати у складі пропозицій інформацію та документи, які підтверджують відповідність пропозиції учасника технічним, якісним, кількісним та іншим вимогам до предмета закупівлі, установленим замовником в Технічному завданні.</w:t>
      </w:r>
    </w:p>
    <w:p>
      <w:pPr>
        <w:pStyle w:val="Normal"/>
        <w:spacing w:lineRule="exact" w:line="240"/>
        <w:ind w:firstLine="709"/>
        <w:jc w:val="both"/>
        <w:rPr>
          <w:rFonts w:ascii="Times New Roman" w:hAnsi="Times New Roman"/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 xml:space="preserve">Учасник визначає ціну пропозиції відповідно </w:t>
      </w:r>
      <w:r>
        <w:rPr>
          <w:sz w:val="24"/>
          <w:szCs w:val="24"/>
        </w:rPr>
        <w:t>Кошторисним нормам України «Настанова з визначення вартості будівництва», затверджених наказом від 01.11.2021 № 281 «Про затвердження кошторисних норм України у будівництві» (далі - Настанова)</w:t>
      </w:r>
      <w:r>
        <w:rPr>
          <w:color w:themeColor="text1" w:val="000000"/>
          <w:sz w:val="24"/>
          <w:szCs w:val="24"/>
        </w:rPr>
        <w:t>.</w:t>
      </w:r>
    </w:p>
    <w:p>
      <w:pPr>
        <w:pStyle w:val="Normal"/>
        <w:spacing w:lineRule="exact" w:line="240"/>
        <w:ind w:firstLine="709"/>
        <w:jc w:val="both"/>
        <w:rPr>
          <w:rFonts w:ascii="Times New Roman" w:hAnsi="Times New Roman"/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 xml:space="preserve">Вартість пропозиції повинна бути чітко визначена. </w:t>
      </w:r>
    </w:p>
    <w:p>
      <w:pPr>
        <w:pStyle w:val="Normal"/>
        <w:spacing w:lineRule="exact" w:line="240"/>
        <w:ind w:firstLine="709"/>
        <w:jc w:val="both"/>
        <w:rPr>
          <w:rFonts w:ascii="Times New Roman" w:hAnsi="Times New Roman"/>
          <w:i/>
          <w:i/>
          <w:color w:themeColor="text1" w:val="000000"/>
          <w:sz w:val="24"/>
          <w:szCs w:val="24"/>
          <w:u w:val="single"/>
        </w:rPr>
      </w:pPr>
      <w:r>
        <w:rPr>
          <w:color w:themeColor="text1" w:val="000000"/>
          <w:sz w:val="24"/>
          <w:szCs w:val="24"/>
        </w:rPr>
        <w:t xml:space="preserve">Договірна ціна встановлюється </w:t>
      </w:r>
      <w:r>
        <w:rPr>
          <w:b/>
          <w:i/>
          <w:color w:themeColor="text1" w:val="000000"/>
          <w:sz w:val="24"/>
          <w:szCs w:val="24"/>
          <w:u w:val="single"/>
        </w:rPr>
        <w:t>твердою</w:t>
      </w:r>
      <w:r>
        <w:rPr>
          <w:i/>
          <w:color w:themeColor="text1" w:val="000000"/>
          <w:sz w:val="24"/>
          <w:szCs w:val="24"/>
          <w:u w:val="single"/>
        </w:rPr>
        <w:t>.</w:t>
      </w:r>
    </w:p>
    <w:p>
      <w:pPr>
        <w:pStyle w:val="Normal"/>
        <w:spacing w:lineRule="exact" w:line="240"/>
        <w:ind w:firstLine="709"/>
        <w:jc w:val="both"/>
        <w:rPr>
          <w:rFonts w:ascii="Times New Roman" w:hAnsi="Times New Roman"/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 xml:space="preserve">Всі матеріали, устаткування, прилади і роботи, включені у пропозицію, повинні повністю відповідати відповідним міжнародним і українським правилам і стандартам. </w:t>
      </w:r>
    </w:p>
    <w:p>
      <w:pPr>
        <w:pStyle w:val="Normal"/>
        <w:spacing w:lineRule="exact" w:line="240"/>
        <w:ind w:firstLine="709"/>
        <w:jc w:val="both"/>
        <w:rPr>
          <w:color w:val="auto"/>
        </w:rPr>
      </w:pPr>
      <w:r>
        <w:rPr>
          <w:color w:val="auto"/>
          <w:sz w:val="24"/>
          <w:szCs w:val="24"/>
        </w:rPr>
        <w:t>Учасник має передбачити у складі договірної ціни кошти на покриття додаткових витрат, пов'язаних з інфляційними процесами (</w:t>
      </w:r>
      <w:r>
        <w:rPr>
          <w:i/>
          <w:color w:val="auto"/>
          <w:sz w:val="24"/>
          <w:szCs w:val="24"/>
        </w:rPr>
        <w:t>відповідно до зміни №4 Настанови з визначення вартості будівництва замовником враховано в очікуваній вартості кошти на покриття додаткових витрат, пов'язаних з інфляційними процесами у сумі 561,534 тис. грн без ПДВ</w:t>
      </w:r>
      <w:r>
        <w:rPr>
          <w:color w:val="auto"/>
          <w:sz w:val="24"/>
          <w:szCs w:val="24"/>
        </w:rPr>
        <w:t>).</w:t>
      </w:r>
    </w:p>
    <w:p>
      <w:pPr>
        <w:pStyle w:val="Normal"/>
        <w:spacing w:lineRule="exact" w:line="240"/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i/>
          <w:sz w:val="24"/>
          <w:szCs w:val="24"/>
          <w:u w:val="single"/>
        </w:rPr>
        <w:t>Перелік документів, які вимагаються для підтвердження технічних, якісних та кількісних характеристик предмета закупівлі:</w:t>
      </w:r>
    </w:p>
    <w:p>
      <w:pPr>
        <w:pStyle w:val="Normal"/>
        <w:spacing w:lineRule="exact" w:line="240"/>
        <w:ind w:firstLine="709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1. </w:t>
      </w:r>
      <w:r>
        <w:rPr>
          <w:b w:val="false"/>
          <w:bCs w:val="false"/>
          <w:i/>
          <w:sz w:val="24"/>
          <w:szCs w:val="24"/>
          <w:u w:val="single"/>
        </w:rPr>
        <w:t>Для учасників процедури закупівлі:</w:t>
      </w:r>
    </w:p>
    <w:p>
      <w:pPr>
        <w:pStyle w:val="Normal"/>
        <w:spacing w:lineRule="exact" w:lin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До ціни пропозиції мають бути надані підтверджуючі розрахунки за статтями витрат договірної ціни у відповідності до Настанови: </w:t>
      </w:r>
    </w:p>
    <w:p>
      <w:pPr>
        <w:pStyle w:val="ListParagraph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40" w:before="0" w:after="0"/>
        <w:ind w:firstLine="709" w:left="0" w:right="0"/>
        <w:contextualSpacing/>
        <w:jc w:val="both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 xml:space="preserve">Договірна ціна, </w:t>
      </w:r>
    </w:p>
    <w:p>
      <w:pPr>
        <w:pStyle w:val="ListParagraph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40" w:before="0" w:after="0"/>
        <w:ind w:firstLine="709" w:left="0" w:right="0"/>
        <w:contextualSpacing/>
        <w:jc w:val="both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 xml:space="preserve">локальні та об'єктний кошториси, </w:t>
      </w:r>
    </w:p>
    <w:p>
      <w:pPr>
        <w:pStyle w:val="ListParagraph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40" w:before="0" w:after="0"/>
        <w:ind w:firstLine="709" w:left="0" w:right="0"/>
        <w:contextualSpacing/>
        <w:jc w:val="both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 xml:space="preserve">підсумкова відомість ресурсів, </w:t>
      </w:r>
    </w:p>
    <w:p>
      <w:pPr>
        <w:pStyle w:val="ListParagraph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40" w:before="0" w:after="0"/>
        <w:ind w:firstLine="709" w:left="0" w:right="0"/>
        <w:contextualSpacing/>
        <w:jc w:val="both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 xml:space="preserve">розрахунок загально-виробничих витрат, </w:t>
      </w:r>
    </w:p>
    <w:p>
      <w:pPr>
        <w:pStyle w:val="ListParagraph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40" w:before="0" w:after="0"/>
        <w:ind w:firstLine="709" w:left="0" w:right="0"/>
        <w:contextualSpacing/>
        <w:jc w:val="both"/>
        <w:rPr>
          <w:rFonts w:ascii="Times New Roman" w:hAnsi="Times New Roman"/>
          <w:color w:themeColor="text1" w:val="000000"/>
          <w:sz w:val="24"/>
          <w:szCs w:val="24"/>
        </w:rPr>
      </w:pPr>
      <w:r>
        <w:rPr>
          <w:rFonts w:eastAsia="Times New Roman"/>
          <w:sz w:val="24"/>
          <w:szCs w:val="24"/>
          <w:lang w:eastAsia="zh-CN"/>
        </w:rPr>
        <w:t>пояснювальна записка</w:t>
      </w:r>
      <w:r>
        <w:rPr>
          <w:rFonts w:eastAsia="Times New Roman"/>
          <w:color w:themeColor="text1" w:val="000000"/>
          <w:sz w:val="24"/>
          <w:szCs w:val="24"/>
          <w:lang w:eastAsia="zh-CN"/>
        </w:rPr>
        <w:t>;</w:t>
      </w:r>
    </w:p>
    <w:p>
      <w:pPr>
        <w:pStyle w:val="ListParagraph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40" w:before="0" w:after="0"/>
        <w:ind w:firstLine="709" w:left="0" w:right="0"/>
        <w:contextualSpacing/>
        <w:jc w:val="both"/>
        <w:rPr>
          <w:rFonts w:ascii="Times New Roman" w:hAnsi="Times New Roman"/>
          <w:color w:themeColor="text1" w:val="000000"/>
          <w:sz w:val="24"/>
          <w:szCs w:val="24"/>
        </w:rPr>
      </w:pPr>
      <w:r>
        <w:rPr>
          <w:rFonts w:eastAsia="Times New Roman"/>
          <w:color w:themeColor="text1" w:val="000000"/>
          <w:sz w:val="24"/>
          <w:szCs w:val="24"/>
          <w:lang w:eastAsia="zh-CN"/>
        </w:rPr>
        <w:t>календарний графік виконання робіт.</w:t>
      </w:r>
    </w:p>
    <w:p>
      <w:pPr>
        <w:pStyle w:val="ListParagraph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40" w:before="0" w:after="0"/>
        <w:ind w:firstLine="709" w:left="0" w:right="0"/>
        <w:contextualSpacing/>
        <w:jc w:val="both"/>
        <w:rPr>
          <w:rFonts w:ascii="Times New Roman" w:hAnsi="Times New Roman"/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4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bCs/>
          <w:sz w:val="24"/>
          <w:szCs w:val="24"/>
        </w:rPr>
        <w:t>На підтвердження контролю якості матеріалів, Учасник у складі пропозиції надає документи що підтверджують право власності або  копію договору на надання послуг випробувальної  лабораторії, яка відповідає вимогам ДСТУ ISO 10012:2005 та компетентна проводити вимірювання будівельних матеріалів (зокрема, але не виключно:  суміші бетонні, розчини будівельні) (на підтвердження, у складі пропозиції, надати копію діючого свідоцтва  про відповідність системи вимірювань вимогам ДСТУ ISO 10012:2005 зі сферою об’єктів вимірювань). Послуги  лабораторії з випробувань будівельних матеріалів та конструкції мають відповідати вимогам: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4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bCs/>
          <w:sz w:val="24"/>
          <w:szCs w:val="24"/>
        </w:rPr>
        <w:t>- Технічного регламенту будівельних виробів, будівель і споруд, затвердженого постановою КМУ від 20.12.2006 року №1764;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4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bCs/>
          <w:sz w:val="24"/>
          <w:szCs w:val="24"/>
        </w:rPr>
        <w:t>- ДСТУ-Н Б А.1.1-83:2008 «Настанова. Керівний документ В щодо визначення контролю виробництва на підприємстві в технічних умовах на будівельні вироби»;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4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eastAsia="Times New Roman"/>
          <w:bCs/>
          <w:color w:themeColor="text1" w:val="000000"/>
          <w:sz w:val="24"/>
          <w:szCs w:val="24"/>
          <w:lang w:eastAsia="zh-CN"/>
        </w:rPr>
        <w:t>- ДСТУ Б А.1.2-1:2007 «Система ліцензування та сертифікації у будівництві. Оцінювання відповідності у будівництві згідно з Технічним регламентом будівельних виробів, будівель і споруд. Основні положення». На підтвердження відповідності лабораторії вищезазначеним вимогам, у складі пропозиції надати копію діючого сертифікату відповідності виданого уповноваженим органом оцінки відповідності будівельних матеріалів виробів будівель і споруд з усіма додатками.  Додатково, у складі пропозиції надається лист від лабораторії, адресований  Замовнику, в якому лабораторія підтверджує можливість виконання контролю якості основних матеріалів, що використовуються для виконання робіт/надання послуг по даній закупівлі, із зазначенням назви процедури та її ідентифікатора на веб-порталі Уповноваженого органу з питань публічних закупівель.</w:t>
      </w:r>
    </w:p>
    <w:p>
      <w:pPr>
        <w:pStyle w:val="Normal"/>
        <w:numPr>
          <w:ilvl w:val="0"/>
          <w:numId w:val="0"/>
        </w:numPr>
        <w:spacing w:lineRule="exact" w:line="240"/>
        <w:ind w:firstLine="709" w:left="0"/>
        <w:mirrorIndents/>
        <w:outlineLvl w:val="0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2. </w:t>
      </w:r>
      <w:r>
        <w:rPr>
          <w:b w:val="false"/>
          <w:bCs w:val="false"/>
          <w:i/>
          <w:sz w:val="24"/>
          <w:szCs w:val="24"/>
          <w:u w:val="single"/>
        </w:rPr>
        <w:t>Для учасника – переможця: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bCs/>
          <w:sz w:val="24"/>
          <w:szCs w:val="24"/>
        </w:rPr>
        <w:t>Учасник, якого визнано переможцем торгів,</w:t>
      </w:r>
      <w:r>
        <w:rPr>
          <w:sz w:val="24"/>
          <w:szCs w:val="24"/>
        </w:rPr>
        <w:t xml:space="preserve"> протягом строку дії його пропозиції, протягом 4 днів з дати прийняття рішення про намір укласти договір про закупівлю, з метою укладання договору, надає через електронну систему закупівель відкориговані за результатами аукціону наступні документи:</w:t>
      </w:r>
    </w:p>
    <w:p>
      <w:pPr>
        <w:pStyle w:val="ListParagraph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40" w:before="0" w:after="0"/>
        <w:ind w:firstLine="709" w:left="0" w:right="0"/>
        <w:contextualSpacing/>
        <w:jc w:val="both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 xml:space="preserve">Договірна ціна, </w:t>
      </w:r>
    </w:p>
    <w:p>
      <w:pPr>
        <w:pStyle w:val="ListParagraph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40" w:before="0" w:after="0"/>
        <w:ind w:firstLine="709" w:left="0" w:right="0"/>
        <w:contextualSpacing/>
        <w:jc w:val="both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 xml:space="preserve">локальні та об'єктний кошториси, </w:t>
      </w:r>
    </w:p>
    <w:p>
      <w:pPr>
        <w:pStyle w:val="ListParagraph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40" w:before="0" w:after="0"/>
        <w:ind w:firstLine="709" w:left="0" w:right="0"/>
        <w:contextualSpacing/>
        <w:jc w:val="both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 xml:space="preserve">підсумкова відомість ресурсів, </w:t>
      </w:r>
    </w:p>
    <w:p>
      <w:pPr>
        <w:pStyle w:val="ListParagraph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40" w:before="0" w:after="0"/>
        <w:ind w:firstLine="709" w:left="0" w:right="0"/>
        <w:contextualSpacing/>
        <w:jc w:val="both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 xml:space="preserve">розрахунок загально-виробничих витрат, </w:t>
      </w:r>
    </w:p>
    <w:p>
      <w:pPr>
        <w:pStyle w:val="ListParagraph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40" w:before="0" w:after="0"/>
        <w:ind w:firstLine="709" w:left="0" w:right="0"/>
        <w:contextualSpacing/>
        <w:jc w:val="both"/>
        <w:rPr>
          <w:rFonts w:ascii="Times New Roman" w:hAnsi="Times New Roman"/>
          <w:color w:themeColor="text1" w:val="000000"/>
          <w:sz w:val="24"/>
          <w:szCs w:val="24"/>
        </w:rPr>
      </w:pPr>
      <w:r>
        <w:rPr>
          <w:rFonts w:eastAsia="Times New Roman"/>
          <w:sz w:val="24"/>
          <w:szCs w:val="24"/>
          <w:lang w:eastAsia="zh-CN"/>
        </w:rPr>
        <w:t>пояснювальна записка</w:t>
      </w:r>
      <w:r>
        <w:rPr>
          <w:rFonts w:eastAsia="Times New Roman"/>
          <w:color w:themeColor="text1" w:val="000000"/>
          <w:sz w:val="24"/>
          <w:szCs w:val="24"/>
          <w:lang w:eastAsia="zh-CN"/>
        </w:rPr>
        <w:t>;</w:t>
      </w:r>
    </w:p>
    <w:p>
      <w:pPr>
        <w:pStyle w:val="ListParagraph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40" w:before="0" w:after="0"/>
        <w:ind w:firstLine="709" w:left="0" w:right="0"/>
        <w:contextualSpacing/>
        <w:jc w:val="both"/>
        <w:rPr>
          <w:rFonts w:ascii="Times New Roman" w:hAnsi="Times New Roman"/>
          <w:color w:themeColor="text1" w:val="000000"/>
          <w:sz w:val="24"/>
          <w:szCs w:val="24"/>
        </w:rPr>
      </w:pPr>
      <w:r>
        <w:rPr>
          <w:rFonts w:eastAsia="Times New Roman"/>
          <w:color w:themeColor="text1" w:val="000000"/>
          <w:sz w:val="24"/>
          <w:szCs w:val="24"/>
          <w:lang w:eastAsia="zh-CN"/>
        </w:rPr>
        <w:t>календарний графік виконання робіт.</w:t>
      </w:r>
    </w:p>
    <w:p>
      <w:pPr>
        <w:pStyle w:val="Normal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4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i/>
          <w:sz w:val="24"/>
          <w:szCs w:val="24"/>
          <w:u w:val="single"/>
        </w:rPr>
        <w:t>Ненадання документів/файлів буде розцінено, як відмова переможця від підписання договору про закупівлю відповідно до вимог тендерної документації або укладення договору про закупівлю і тому, замовник відхиляє тендерну пропозицію такого учасника та визначає переможця серед тих учасників, строк дії тендерної пропозиції яких ще не минув.</w:t>
      </w:r>
    </w:p>
    <w:p>
      <w:pPr>
        <w:pStyle w:val="Normal"/>
        <w:widowControl w:val="false"/>
        <w:spacing w:lineRule="exact" w:line="240" w:before="0" w:after="0"/>
        <w:ind w:firstLine="709"/>
        <w:contextualSpacing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Інформація про маркування, протоколи випробувань або сертифікати, що підтверджують відповідність предмета закупівлі встановленим замовником вимогам.</w:t>
      </w:r>
    </w:p>
    <w:p>
      <w:pPr>
        <w:pStyle w:val="Normal"/>
        <w:widowControl w:val="false"/>
        <w:spacing w:lineRule="exact" w:line="240" w:before="0"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bCs/>
          <w:sz w:val="24"/>
          <w:szCs w:val="24"/>
        </w:rPr>
        <w:t xml:space="preserve">Відповідно до частини п’ятої статті 23 Закону замовник вимагає від учасників підтвердження того, що пропоновані ними товари, послуги чи роботи за своїми екологічними чи іншими характеристиками відповідають вимогам, установленим у тендерній документації. </w:t>
      </w:r>
    </w:p>
    <w:p>
      <w:pPr>
        <w:pStyle w:val="Normal"/>
        <w:spacing w:lineRule="exact" w:line="24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bCs/>
          <w:sz w:val="24"/>
          <w:szCs w:val="24"/>
        </w:rPr>
        <w:t>Під час виконання договору про закупівлю учасник зобов’язується дотримуватись передбачених чинних законодавством вимог щодо застосування заходів із захисту довкілля. Виконання робіт, що є предметом закупівлі, повинні відповідати основним вимогам державної політики України в галузі захисту довкілля та вимогам природоохоронного законодавства.</w:t>
      </w:r>
    </w:p>
    <w:p>
      <w:pPr>
        <w:pStyle w:val="Normal"/>
        <w:spacing w:lineRule="exact" w:line="24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bCs/>
          <w:sz w:val="24"/>
          <w:szCs w:val="24"/>
        </w:rPr>
        <w:t>Для забезпечення нормального стану навколишнього середовища учасник гарантує: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567" w:leader="none"/>
        </w:tabs>
        <w:spacing w:lineRule="exact" w:line="240" w:before="0" w:after="0"/>
        <w:ind w:firstLine="709" w:left="0" w:right="0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своєчасно запобігати виникненню аварійних ситуацій;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567" w:leader="none"/>
        </w:tabs>
        <w:spacing w:lineRule="exact" w:line="240" w:before="0" w:after="0"/>
        <w:ind w:firstLine="709" w:left="0" w:right="0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при виконанні робіт забезпечити належне зберігання та використання паливно-мастильних матеріалів, щоб не допустити забруднення ними ґрунту та води;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567" w:leader="none"/>
        </w:tabs>
        <w:spacing w:lineRule="exact" w:line="240" w:before="0" w:after="0"/>
        <w:ind w:firstLine="709" w:left="0" w:right="0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під час експлуатації машин і механізмів здійснювати заходи щодо зниження токсичності викидів;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567" w:leader="none"/>
        </w:tabs>
        <w:spacing w:lineRule="exact" w:line="240" w:before="0" w:after="0"/>
        <w:ind w:firstLine="709" w:left="0" w:right="0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не порушувати екологічні права і законні інтереси міської громади.</w:t>
      </w:r>
    </w:p>
    <w:p>
      <w:pPr>
        <w:pStyle w:val="Normal"/>
        <w:spacing w:lineRule="exact" w:line="24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bCs/>
          <w:sz w:val="24"/>
          <w:szCs w:val="24"/>
        </w:rPr>
        <w:t>Відповідальність за виконання вимог екологічної безпеки несе керівник учасника-переможця.</w:t>
      </w:r>
    </w:p>
    <w:p>
      <w:pPr>
        <w:pStyle w:val="Normal"/>
        <w:spacing w:lineRule="exact" w:line="24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bCs/>
          <w:sz w:val="24"/>
          <w:szCs w:val="24"/>
        </w:rPr>
        <w:t>Способом документального підтвердження учасником застосовування заходів із захисту довкілля під час виконання робіт є</w:t>
      </w:r>
      <w:r>
        <w:rPr>
          <w:b/>
          <w:sz w:val="24"/>
          <w:szCs w:val="24"/>
        </w:rPr>
        <w:t xml:space="preserve"> д</w:t>
      </w:r>
      <w:r>
        <w:rPr>
          <w:b w:val="false"/>
          <w:bCs w:val="false"/>
          <w:sz w:val="24"/>
          <w:szCs w:val="24"/>
        </w:rPr>
        <w:t>овідка, складена учасником у довільній формі, в якій він гарантує застосування цих заходів.</w:t>
      </w:r>
    </w:p>
    <w:p>
      <w:pPr>
        <w:pStyle w:val="Normal"/>
        <w:spacing w:lineRule="exact" w:line="24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bCs/>
          <w:sz w:val="24"/>
          <w:szCs w:val="24"/>
        </w:rPr>
        <w:t xml:space="preserve">В складі тендерної пропозиції Учасник повинен надати </w:t>
      </w:r>
      <w:r>
        <w:rPr>
          <w:b w:val="false"/>
          <w:bCs w:val="false"/>
          <w:sz w:val="24"/>
          <w:szCs w:val="24"/>
        </w:rPr>
        <w:t>гарантійний лист</w:t>
      </w:r>
      <w:r>
        <w:rPr>
          <w:bCs/>
          <w:sz w:val="24"/>
          <w:szCs w:val="24"/>
        </w:rPr>
        <w:t xml:space="preserve"> щодо надання під час виконання договору підтвердження ступеню локалізації відповідно до тендерної документації стосовно товару, що набуватиметься Замовником у власність під час виконання робіт. Гарантійний лист не надається у випадку, якщо ціна за зазначену позицію складає менше 200тис. грн. або локалізації виробництва такого товару не є обов'язковою згідно чинного законодавства.</w:t>
      </w:r>
    </w:p>
    <w:p>
      <w:pPr>
        <w:pStyle w:val="Normal"/>
        <w:spacing w:lineRule="exact" w:line="240"/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Учасник повинен надати:</w:t>
      </w:r>
    </w:p>
    <w:p>
      <w:pPr>
        <w:pStyle w:val="ListParagraph"/>
        <w:numPr>
          <w:ilvl w:val="0"/>
          <w:numId w:val="2"/>
        </w:numPr>
        <w:spacing w:lineRule="exact" w:line="240" w:before="0" w:after="0"/>
        <w:ind w:firstLine="709" w:left="0" w:right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bCs/>
          <w:sz w:val="24"/>
          <w:szCs w:val="24"/>
        </w:rPr>
        <w:t>Ліцензію на провадження господарської діяльності з будівництва об’єктів, що за класом наслідків (відповідальності) належать до об’єктів із середніми (СС2) наслідками та/або зареєстровану Декларацію про провадження господарської діяльності  з будівництва об’єктів, що за класом наслідків (відповідальності) належать до об’єктів із середніми (СС2) наслідками.</w:t>
      </w:r>
    </w:p>
    <w:p>
      <w:pPr>
        <w:pStyle w:val="ListParagraph"/>
        <w:spacing w:lineRule="exact" w:line="240" w:before="0" w:after="0"/>
        <w:ind w:firstLine="709" w:left="0" w:right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bCs/>
          <w:sz w:val="24"/>
          <w:szCs w:val="24"/>
        </w:rPr>
        <w:t>- копії дозвільних документів на виконання робіт підвищеної небезпеки відповідно до переліку, затвердженого Постановою КМУ від 26.10.2011 року № 1107 «Про затвердження порядку видачі дозволів на виконання робіт підвищеної небезпеки та на експлуатацію (застосування) машин механізмів, устаткування підвищеної небезпеки» зі змінами: дозвіл на виконання робіт підвищеної небезпеки та/або декларація відповідності матеріально-технічної бази вимогам законодавства з питань охорони праці за такими видами робіт (зокрема але не виключно):</w:t>
      </w:r>
    </w:p>
    <w:p>
      <w:pPr>
        <w:pStyle w:val="ListParagraph"/>
        <w:spacing w:lineRule="exact" w:line="240" w:before="0" w:after="0"/>
        <w:ind w:firstLine="709" w:left="0" w:right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bCs/>
          <w:sz w:val="24"/>
          <w:szCs w:val="24"/>
        </w:rPr>
        <w:t>- монтаж споруд;</w:t>
      </w:r>
    </w:p>
    <w:p>
      <w:pPr>
        <w:pStyle w:val="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bCs/>
          <w:sz w:val="24"/>
          <w:szCs w:val="24"/>
        </w:rPr>
        <w:t>- земляні роботи, що виконуються на глибині понад 2 метри або в зоні розташування підземних комунікацій.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Примітка: </w:t>
      </w:r>
      <w:r>
        <w:rPr>
          <w:rFonts w:cs="Times New Roman"/>
          <w:color w:val="000000"/>
          <w:sz w:val="24"/>
          <w:szCs w:val="24"/>
        </w:rPr>
        <w:t>Усюди в тексті, де міститься найменування торгових марок, фірм, патентів, конструкцій, типів, джерело/місце походження чи виробників, або міститься посилання на конкретний процес, що характеризує продукт чи послугу певного суб’єкта господарювання чи спосіб виробництва слід розуміти «або еквівалент».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Еквівалентними матеріалами, виробами, обладнанням вважаються такі, що в повному обсязі відповідають технічним та технологічним характеристикам матеріалів, виробів, обладнання, що передбачені технічними вимогами (або краще), які  передбачені проектом.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ціну тендерної пропозиції включити вартість всіх будівельних матеріалів, конструкцій, виробів та обладнання, які необхідні для виконання робіт.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Роботи та матеріальні ресурси, що використовуються для їх виконання, повинні відповідати кошторисним нормам України «Настанова з визначення вартості будівництва», затверджені наказом від 01.11.2021 № 281 «Про затвердження кошторисних норм України у будівництві», а також іншим  нормативно-правовим актам і нормативним документам у галузі будівництва, проектній документації та умовам Договору.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Ціна тендерної пропозиції визначається за результатами електронного аукціону. Ціна тендерної пропозиції учасника означає суму, за яку учасник передбачає виконати замовлення на виконання всіх видів робіт, передбачених проєктно-кошторисною документацією. Учасник визначає ціни на роботи, які він пропонує виконати за Договором про закупівлю з урахуванням усіх своїх витрат; податків і зборів, що сплачуються або мають бути сплачені.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Ціна тендерної пропозиції учасника повинна бути розрахована відповідно до кошторисних норм України «Настанова з визначення вартості будівництва», затверджені наказом від 01.11.2021 № 281 «Про затвердження кошторисних норм України у будівництві».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Ціна тендерної пропозиції, за яку учасник згоден виконати роботу, розраховується виходячи з обсягів робіт на підставі нормативної потреби в трудових і матеріально-технічних ресурсах, необхідних для здійснення робіт по об`єкту замовлення та діючих цін на них. Ціну тендерної пропозиції слід визначати відповідно до Технічних умов,  щодо використання конкретних матеріалів і конструкцій; якості будівельно-монтажних робіт, а також з дотриманням діючих норм і правил виконання будівельно-монтажних робіт, технічної експлуатації будівельної техніки і безпечних умов праці.</w:t>
      </w:r>
      <w:r>
        <w:rPr>
          <w:rFonts w:cs="Times New Roman"/>
          <w:b/>
          <w:sz w:val="24"/>
          <w:szCs w:val="24"/>
        </w:rPr>
        <w:t xml:space="preserve"> 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z w:val="24"/>
          <w:szCs w:val="24"/>
          <w:lang w:eastAsia="en-US"/>
        </w:rPr>
        <w:tab/>
        <w:t>Ознайомлення з робочим проє</w:t>
      </w:r>
      <w:bookmarkStart w:id="0" w:name="_GoBack_копія_1"/>
      <w:bookmarkEnd w:id="0"/>
      <w:r>
        <w:rPr>
          <w:rFonts w:eastAsia="Times New Roman" w:cs="Times New Roman"/>
          <w:b w:val="false"/>
          <w:bCs w:val="false"/>
          <w:i w:val="false"/>
          <w:iCs w:val="false"/>
          <w:sz w:val="24"/>
          <w:szCs w:val="24"/>
          <w:lang w:eastAsia="en-US"/>
        </w:rPr>
        <w:t>ктом можливо за адресою: вул.Незалежності, 82, м.Прилуки, Чернігівська область.</w:t>
      </w:r>
    </w:p>
    <w:p>
      <w:pPr>
        <w:pStyle w:val="Normal"/>
        <w:jc w:val="both"/>
        <w:rPr>
          <w:i w:val="false"/>
          <w:i w:val="false"/>
          <w:iCs w:val="false"/>
          <w:sz w:val="22"/>
          <w:szCs w:val="22"/>
        </w:rPr>
      </w:pPr>
      <w:r>
        <w:rPr>
          <w:i w:val="false"/>
          <w:iCs w:val="false"/>
          <w:sz w:val="22"/>
          <w:szCs w:val="22"/>
        </w:rPr>
      </w:r>
    </w:p>
    <w:p>
      <w:pPr>
        <w:pStyle w:val="Normal"/>
        <w:jc w:val="both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uk-UA" w:eastAsia="ar-SA" w:bidi="ar-SA"/>
        </w:rPr>
        <w:t>Н</w:t>
      </w:r>
      <w:r>
        <w:rPr>
          <w:sz w:val="24"/>
          <w:szCs w:val="24"/>
          <w:lang w:val="uk-UA"/>
        </w:rPr>
        <w:t>ачальник управління житлово-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комунального господарства</w:t>
        <w:tab/>
        <w:tab/>
        <w:tab/>
        <w:tab/>
        <w:tab/>
        <w:tab/>
        <w:tab/>
        <w:tab/>
      </w:r>
      <w:r>
        <w:rPr>
          <w:rFonts w:eastAsia="Times New Roman" w:cs="Times New Roman"/>
          <w:color w:val="auto"/>
          <w:kern w:val="0"/>
          <w:sz w:val="24"/>
          <w:szCs w:val="24"/>
          <w:lang w:val="uk-UA" w:eastAsia="ar-SA" w:bidi="ar-SA"/>
        </w:rPr>
        <w:t>О.С.Созінов</w:t>
      </w:r>
    </w:p>
    <w:sectPr>
      <w:type w:val="nextPage"/>
      <w:pgSz w:w="11906" w:h="16838"/>
      <w:pgMar w:left="1215" w:right="581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ymbol">
    <w:charset w:val="cc"/>
    <w:family w:val="roman"/>
    <w:pitch w:val="variable"/>
  </w:font>
  <w:font w:name="Wingdings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ntiqu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583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ar-SA" w:bidi="ar-SA"/>
    </w:rPr>
  </w:style>
  <w:style w:type="paragraph" w:styleId="Heading3">
    <w:name w:val="Heading 3"/>
    <w:basedOn w:val="Normal"/>
    <w:next w:val="BodyText"/>
    <w:qFormat/>
    <w:rsid w:val="0052583c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basedOn w:val="DefaultParagraphFont"/>
    <w:qFormat/>
    <w:rsid w:val="0052583c"/>
    <w:rPr>
      <w:rFonts w:ascii="Times New Roman" w:hAnsi="Times New Roman" w:eastAsia="Times New Roman" w:cs="Times New Roman"/>
      <w:b/>
      <w:bCs/>
      <w:sz w:val="27"/>
      <w:szCs w:val="27"/>
      <w:lang w:val="uk-UA" w:eastAsia="ar-SA"/>
    </w:rPr>
  </w:style>
  <w:style w:type="character" w:styleId="-">
    <w:name w:val="Интернет-ссылка"/>
    <w:qFormat/>
    <w:rsid w:val="0052583c"/>
    <w:rPr>
      <w:color w:val="000080"/>
      <w:u w:val="single"/>
    </w:rPr>
  </w:style>
  <w:style w:type="character" w:styleId="Style13" w:customStyle="1">
    <w:name w:val="Основной текст Знак"/>
    <w:basedOn w:val="DefaultParagraphFont"/>
    <w:uiPriority w:val="99"/>
    <w:semiHidden/>
    <w:qFormat/>
    <w:rsid w:val="0052583c"/>
    <w:rPr>
      <w:rFonts w:ascii="Times New Roman" w:hAnsi="Times New Roman" w:eastAsia="Times New Roman" w:cs="Times New Roman"/>
      <w:sz w:val="24"/>
      <w:szCs w:val="24"/>
      <w:lang w:val="uk-UA" w:eastAsia="ar-SA"/>
    </w:rPr>
  </w:style>
  <w:style w:type="character" w:styleId="2" w:customStyle="1">
    <w:name w:val="Основной шрифт абзаца2"/>
    <w:qFormat/>
    <w:rsid w:val="001125fb"/>
    <w:rPr/>
  </w:style>
  <w:style w:type="character" w:styleId="Style14">
    <w:name w:val="Основной шрифт абзаца"/>
    <w:qFormat/>
    <w:rPr/>
  </w:style>
  <w:style w:type="character" w:styleId="31">
    <w:name w:val="Основной шрифт абзаца3"/>
    <w:qFormat/>
    <w:rPr/>
  </w:style>
  <w:style w:type="character" w:styleId="Style15">
    <w:name w:val="Выделение жирным"/>
    <w:qFormat/>
    <w:rPr>
      <w:b/>
      <w:bCs/>
    </w:rPr>
  </w:style>
  <w:style w:type="character" w:styleId="FontStyle38">
    <w:name w:val="Font Style38"/>
    <w:qFormat/>
    <w:rPr>
      <w:rFonts w:ascii="Times New Roman" w:hAnsi="Times New Roman" w:eastAsia="Times New Roman"/>
      <w:sz w:val="24"/>
      <w:szCs w:val="24"/>
    </w:rPr>
  </w:style>
  <w:style w:type="character" w:styleId="TimesNewRoman12">
    <w:name w:val="Стиль (латиница) Times New Roman 12 пт"/>
    <w:qFormat/>
    <w:rPr>
      <w:rFonts w:ascii="Times New Roman" w:hAnsi="Times New Roman" w:eastAsia="Times New Roman"/>
      <w:sz w:val="24"/>
      <w:lang w:val="uk-UA" w:eastAsia="ar-SA"/>
    </w:rPr>
  </w:style>
  <w:style w:type="character" w:styleId="Style16">
    <w:name w:val="Обычный (веб) Знак Знак Знак"/>
    <w:qFormat/>
    <w:rPr>
      <w:sz w:val="24"/>
      <w:lang w:val="uk-UA"/>
    </w:rPr>
  </w:style>
  <w:style w:type="character" w:styleId="Style17">
    <w:name w:val="Текст Знак"/>
    <w:qFormat/>
    <w:rPr>
      <w:rFonts w:eastAsia="Times New Roman"/>
      <w:szCs w:val="22"/>
    </w:rPr>
  </w:style>
  <w:style w:type="character" w:styleId="Style18">
    <w:name w:val="Текст примітки Знак"/>
    <w:qFormat/>
    <w:rPr>
      <w:rFonts w:ascii="Arial" w:hAnsi="Arial" w:eastAsia="Arial"/>
    </w:rPr>
  </w:style>
  <w:style w:type="character" w:styleId="1">
    <w:name w:val="Основной шрифт абзаца1"/>
    <w:qFormat/>
    <w:rPr>
      <w:rFonts w:ascii="Verdana" w:hAnsi="Verdana" w:eastAsia="Verdana"/>
      <w:sz w:val="20"/>
    </w:rPr>
  </w:style>
  <w:style w:type="character" w:styleId="WW8Num10z1">
    <w:name w:val="WW8Num10z1"/>
    <w:qFormat/>
    <w:rPr>
      <w:rFonts w:ascii="Courier New" w:hAnsi="Courier New" w:eastAsia="Courier New"/>
    </w:rPr>
  </w:style>
  <w:style w:type="character" w:styleId="WW8Num10z0">
    <w:name w:val="WW8Num10z0"/>
    <w:qFormat/>
    <w:rPr>
      <w:rFonts w:ascii="Times New Roman" w:hAnsi="Times New Roman" w:eastAsia="Times New Roman"/>
    </w:rPr>
  </w:style>
  <w:style w:type="character" w:styleId="WW8Num12z1">
    <w:name w:val="WW8Num12z1"/>
    <w:qFormat/>
    <w:rPr>
      <w:rFonts w:ascii="Courier New" w:hAnsi="Courier New" w:eastAsia="Courier New"/>
      <w:sz w:val="20"/>
    </w:rPr>
  </w:style>
  <w:style w:type="character" w:styleId="WW8Num8z1">
    <w:name w:val="WW8Num8z1"/>
    <w:qFormat/>
    <w:rPr>
      <w:rFonts w:ascii="Courier New" w:hAnsi="Courier New" w:eastAsia="Courier New"/>
    </w:rPr>
  </w:style>
  <w:style w:type="character" w:styleId="WW8Num8z0">
    <w:name w:val="WW8Num8z0"/>
    <w:qFormat/>
    <w:rPr>
      <w:rFonts w:ascii="Times New Roman" w:hAnsi="Times New Roman" w:eastAsia="Times New Roman"/>
    </w:rPr>
  </w:style>
  <w:style w:type="character" w:styleId="Rvts0">
    <w:name w:val="rvts0"/>
    <w:qFormat/>
    <w:rPr/>
  </w:style>
  <w:style w:type="character" w:styleId="Rvts46">
    <w:name w:val="rvts46"/>
    <w:qFormat/>
    <w:rPr/>
  </w:style>
  <w:style w:type="character" w:styleId="Rvts37">
    <w:name w:val="rvts37"/>
    <w:qFormat/>
    <w:rPr/>
  </w:style>
  <w:style w:type="character" w:styleId="Rvts11">
    <w:name w:val="rvts11"/>
    <w:qFormat/>
    <w:rPr/>
  </w:style>
  <w:style w:type="character" w:styleId="Apple-converted-space">
    <w:name w:val="apple-converted-space"/>
    <w:qFormat/>
    <w:rPr/>
  </w:style>
  <w:style w:type="character" w:styleId="Style19">
    <w:name w:val="Маркеры списка"/>
    <w:qFormat/>
    <w:rPr>
      <w:rFonts w:ascii="OpenSymbol" w:hAnsi="OpenSymbol" w:eastAsia="OpenSymbol"/>
    </w:rPr>
  </w:style>
  <w:style w:type="character" w:styleId="32">
    <w:name w:val="Основной текст с отступом 3 Знак"/>
    <w:qFormat/>
    <w:rPr>
      <w:rFonts w:ascii="Arial" w:hAnsi="Arial" w:eastAsia="Times New Roman"/>
      <w:sz w:val="16"/>
      <w:szCs w:val="16"/>
    </w:rPr>
  </w:style>
  <w:style w:type="character" w:styleId="21">
    <w:name w:val="Основной текст 2 Знак"/>
    <w:qFormat/>
    <w:rPr>
      <w:rFonts w:ascii="Times New Roman" w:hAnsi="Times New Roman" w:eastAsia="Times New Roman"/>
      <w:sz w:val="24"/>
      <w:szCs w:val="20"/>
      <w:lang w:val="uk-UA"/>
    </w:rPr>
  </w:style>
  <w:style w:type="character" w:styleId="Style20">
    <w:name w:val="Верхний колонтитул Знак"/>
    <w:qFormat/>
    <w:rPr>
      <w:rFonts w:ascii="Times New Roman" w:hAnsi="Times New Roman" w:eastAsia="Times New Roman"/>
      <w:sz w:val="24"/>
      <w:szCs w:val="24"/>
    </w:rPr>
  </w:style>
  <w:style w:type="character" w:styleId="Style21">
    <w:name w:val="Нижний колонтитул Знак"/>
    <w:qFormat/>
    <w:rPr>
      <w:rFonts w:ascii="Times New Roman" w:hAnsi="Times New Roman" w:eastAsia="Times New Roman"/>
      <w:sz w:val="24"/>
      <w:szCs w:val="24"/>
    </w:rPr>
  </w:style>
  <w:style w:type="character" w:styleId="HTML">
    <w:name w:val="Стандартный HTML Знак"/>
    <w:qFormat/>
    <w:rPr>
      <w:rFonts w:ascii="Courier New" w:hAnsi="Courier New" w:eastAsia="Courier New"/>
      <w:sz w:val="20"/>
      <w:szCs w:val="20"/>
    </w:rPr>
  </w:style>
  <w:style w:type="character" w:styleId="WW-Absatz-Standardschriftart11">
    <w:name w:val="WW-Absatz-Standardschriftart11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">
    <w:name w:val="WW-Absatz-Standardschriftart"/>
    <w:qFormat/>
    <w:rPr/>
  </w:style>
  <w:style w:type="character" w:styleId="Absatz-Standardschriftart">
    <w:name w:val="Absatz-Standardschriftart"/>
    <w:qFormat/>
    <w:rPr/>
  </w:style>
  <w:style w:type="character" w:styleId="11">
    <w:name w:val="Шрифт абзацу за промовчанням1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1">
    <w:name w:val="WW8Num7z1"/>
    <w:qFormat/>
    <w:rPr>
      <w:rFonts w:ascii="Courier New" w:hAnsi="Courier New" w:eastAsia="Courier New"/>
      <w:sz w:val="20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1">
    <w:name w:val="WW8Num6z1"/>
    <w:qFormat/>
    <w:rPr>
      <w:rFonts w:ascii="Courier New" w:hAnsi="Courier New" w:eastAsia="Courier New"/>
      <w:sz w:val="20"/>
    </w:rPr>
  </w:style>
  <w:style w:type="character" w:styleId="WW8Num5z1">
    <w:name w:val="WW8Num5z1"/>
    <w:qFormat/>
    <w:rPr>
      <w:rFonts w:ascii="Courier New" w:hAnsi="Courier New" w:eastAsia="Courier New"/>
    </w:rPr>
  </w:style>
  <w:style w:type="character" w:styleId="WW8Num5z0">
    <w:name w:val="WW8Num5z0"/>
    <w:qFormat/>
    <w:rPr>
      <w:rFonts w:ascii="Times New Roman" w:hAnsi="Times New Roman" w:eastAsia="Times New Roman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1">
    <w:name w:val="WW8Num3z1"/>
    <w:qFormat/>
    <w:rPr>
      <w:rFonts w:ascii="Courier New" w:hAnsi="Courier New" w:eastAsia="Courier New"/>
    </w:rPr>
  </w:style>
  <w:style w:type="character" w:styleId="22">
    <w:name w:val="Шрифт абзацу за промовчанням2"/>
    <w:qFormat/>
    <w:rPr/>
  </w:style>
  <w:style w:type="character" w:styleId="33">
    <w:name w:val="Шрифт абзацу за промовчанням3"/>
    <w:qFormat/>
    <w:rPr/>
  </w:style>
  <w:style w:type="character" w:styleId="4">
    <w:name w:val="Шрифт абзацу за промовчанням4"/>
    <w:qFormat/>
    <w:rPr/>
  </w:style>
  <w:style w:type="character" w:styleId="5">
    <w:name w:val="Шрифт абзацу за промовчанням5"/>
    <w:qFormat/>
    <w:rPr/>
  </w:style>
  <w:style w:type="character" w:styleId="6">
    <w:name w:val="Шрифт абзацу за промовчанням6"/>
    <w:qFormat/>
    <w:rPr/>
  </w:style>
  <w:style w:type="character" w:styleId="Style22">
    <w:name w:val="Шрифт абзацу за промовчанням"/>
    <w:qFormat/>
    <w:rPr/>
  </w:style>
  <w:style w:type="character" w:styleId="41">
    <w:name w:val="Основной шрифт абзаца4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2">
    <w:name w:val="WW8Num2z2"/>
    <w:qFormat/>
    <w:rPr/>
  </w:style>
  <w:style w:type="character" w:styleId="WW8Num4z1">
    <w:name w:val="WW8Num4z1"/>
    <w:qFormat/>
    <w:rPr>
      <w:rFonts w:ascii="Courier New" w:hAnsi="Courier New" w:eastAsia="Courier New"/>
    </w:rPr>
  </w:style>
  <w:style w:type="character" w:styleId="WW8Num4z0">
    <w:name w:val="WW8Num4z0"/>
    <w:qFormat/>
    <w:rPr>
      <w:rFonts w:ascii="Arial" w:hAnsi="Arial" w:eastAsia="Times New Roman"/>
    </w:rPr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Style23">
    <w:name w:val="Посещённая гиперссылка"/>
    <w:qFormat/>
    <w:rPr>
      <w:color w:val="800000"/>
      <w:u w:val="single"/>
      <w:lang w:val="zxx" w:bidi="zxx"/>
    </w:rPr>
  </w:style>
  <w:style w:type="character" w:styleId="WW8Num8z4">
    <w:name w:val="WW8Num8z4"/>
    <w:qFormat/>
    <w:rPr>
      <w:rFonts w:ascii="Courier New" w:hAnsi="Courier New" w:eastAsia="Courier New"/>
    </w:rPr>
  </w:style>
  <w:style w:type="character" w:styleId="WW8Num8z3">
    <w:name w:val="WW8Num8z3"/>
    <w:qFormat/>
    <w:rPr>
      <w:rFonts w:ascii="Symbol" w:hAnsi="Symbol" w:eastAsia="Symbol"/>
    </w:rPr>
  </w:style>
  <w:style w:type="character" w:styleId="WW8Num8z2">
    <w:name w:val="WW8Num8z2"/>
    <w:qFormat/>
    <w:rPr>
      <w:rFonts w:ascii="Wingdings" w:hAnsi="Wingdings" w:eastAsia="Wingdings"/>
    </w:rPr>
  </w:style>
  <w:style w:type="character" w:styleId="WW8Num7z2">
    <w:name w:val="WW8Num7z2"/>
    <w:qFormat/>
    <w:rPr/>
  </w:style>
  <w:style w:type="character" w:styleId="WW8Num7z0">
    <w:name w:val="WW8Num7z0"/>
    <w:qFormat/>
    <w:rPr>
      <w:sz w:val="24"/>
      <w:lang w:val="uk-UA"/>
    </w:rPr>
  </w:style>
  <w:style w:type="character" w:styleId="WW8Num6z2">
    <w:name w:val="WW8Num6z2"/>
    <w:qFormat/>
    <w:rPr/>
  </w:style>
  <w:style w:type="character" w:styleId="WW8Num6z0">
    <w:name w:val="WW8Num6z0"/>
    <w:qFormat/>
    <w:rPr/>
  </w:style>
  <w:style w:type="character" w:styleId="Style24">
    <w:name w:val="Основний текст Знак"/>
    <w:qFormat/>
    <w:rPr>
      <w:rFonts w:ascii="Arial" w:hAnsi="Arial" w:eastAsia="Times New Roman"/>
      <w:sz w:val="20"/>
      <w:szCs w:val="20"/>
      <w:lang w:val="en-GB" w:eastAsia="en-US"/>
    </w:rPr>
  </w:style>
  <w:style w:type="character" w:styleId="Style25">
    <w:name w:val="Тема примітки Знак"/>
    <w:qFormat/>
    <w:rPr>
      <w:b/>
      <w:sz w:val="20"/>
    </w:rPr>
  </w:style>
  <w:style w:type="character" w:styleId="Annotationreference">
    <w:name w:val="annotation reference"/>
    <w:qFormat/>
    <w:rPr>
      <w:sz w:val="16"/>
    </w:rPr>
  </w:style>
  <w:style w:type="character" w:styleId="Qowt-font2-timesnewroman">
    <w:name w:val="qowt-font2-timesnewroman"/>
    <w:qFormat/>
    <w:rPr>
      <w:rFonts w:eastAsia="Times New Roman"/>
    </w:rPr>
  </w:style>
  <w:style w:type="character" w:styleId="Style26">
    <w:name w:val="Текст у виносці Знак"/>
    <w:qFormat/>
    <w:rPr>
      <w:rFonts w:ascii="Segoe UI" w:hAnsi="Segoe UI" w:eastAsia="Segoe UI"/>
      <w:sz w:val="18"/>
      <w:szCs w:val="18"/>
    </w:rPr>
  </w:style>
  <w:style w:type="character" w:styleId="12">
    <w:name w:val="Неразрешенное упоминание1"/>
    <w:qFormat/>
    <w:rPr>
      <w:color w:val="605E5C"/>
      <w:shd w:fill="E1DFDD" w:val="clear"/>
    </w:rPr>
  </w:style>
  <w:style w:type="character" w:styleId="Strong">
    <w:name w:val="Strong"/>
    <w:qFormat/>
    <w:rPr>
      <w:b/>
      <w:bCs/>
    </w:rPr>
  </w:style>
  <w:style w:type="paragraph" w:styleId="Style2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99"/>
    <w:semiHidden/>
    <w:unhideWhenUsed/>
    <w:rsid w:val="0052583c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Покажчик"/>
    <w:basedOn w:val="Normal"/>
    <w:qFormat/>
    <w:pPr>
      <w:suppressLineNumbers/>
    </w:pPr>
    <w:rPr>
      <w:rFonts w:cs="Arial"/>
    </w:rPr>
  </w:style>
  <w:style w:type="paragraph" w:styleId="Style2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rsid w:val="0052583c"/>
    <w:pPr>
      <w:spacing w:before="280" w:after="280"/>
    </w:pPr>
    <w:rPr/>
  </w:style>
  <w:style w:type="paragraph" w:styleId="Standard" w:customStyle="1">
    <w:name w:val="Standard"/>
    <w:qFormat/>
    <w:rsid w:val="0052583c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Style30" w:customStyle="1">
    <w:name w:val="Содержимое таблицы"/>
    <w:basedOn w:val="Normal"/>
    <w:qFormat/>
    <w:rsid w:val="001125fb"/>
    <w:pPr>
      <w:widowControl w:val="false"/>
      <w:suppressLineNumbers/>
    </w:pPr>
    <w:rPr>
      <w:rFonts w:eastAsia="Lucida Sans Unicode" w:cs="Mangal"/>
      <w:kern w:val="2"/>
      <w:sz w:val="28"/>
      <w:lang w:eastAsia="hi-IN" w:bidi="hi-IN"/>
    </w:rPr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Default">
    <w:name w:val="Default"/>
    <w:basedOn w:val="Normal"/>
    <w:qFormat/>
    <w:pPr>
      <w:suppressAutoHyphens w:val="true"/>
      <w:bidi w:val="0"/>
    </w:pPr>
    <w:rPr>
      <w:rFonts w:ascii="Times New Roman" w:hAnsi="Times New Roman" w:eastAsia="Times New Roman" w:cs="Times New Roman"/>
      <w:color w:val="000000"/>
      <w:szCs w:val="24"/>
      <w:lang w:val="ru-RU" w:bidi="hi-IN"/>
    </w:rPr>
  </w:style>
  <w:style w:type="paragraph" w:styleId="13">
    <w:name w:val="Без интервала1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Mangal"/>
      <w:color w:val="auto"/>
      <w:kern w:val="0"/>
      <w:sz w:val="24"/>
      <w:szCs w:val="24"/>
      <w:lang w:val="ru-RU" w:eastAsia="zh-CN" w:bidi="hi-IN"/>
    </w:rPr>
  </w:style>
  <w:style w:type="paragraph" w:styleId="14">
    <w:name w:val="Обычный1"/>
    <w:qFormat/>
    <w:pPr>
      <w:widowControl w:val="false"/>
      <w:suppressAutoHyphens w:val="true"/>
      <w:overflowPunct w:val="false"/>
      <w:bidi w:val="0"/>
      <w:snapToGrid w:val="false"/>
      <w:spacing w:lineRule="auto" w:line="300" w:before="0" w:after="0"/>
      <w:ind w:firstLine="520"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uk-UA" w:eastAsia="zh-CN" w:bidi="ar-SA"/>
    </w:rPr>
  </w:style>
  <w:style w:type="paragraph" w:styleId="LO-normal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Liberation Serif"/>
      <w:color w:val="000000"/>
      <w:kern w:val="2"/>
      <w:sz w:val="22"/>
      <w:szCs w:val="22"/>
      <w:lang w:val="uk-UA" w:eastAsia="hi-IN" w:bidi="ar-SA"/>
    </w:rPr>
  </w:style>
  <w:style w:type="paragraph" w:styleId="Docdata">
    <w:name w:val="docdata"/>
    <w:basedOn w:val="Normal"/>
    <w:qFormat/>
    <w:pPr>
      <w:spacing w:before="280" w:after="28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2"/>
      <w:sz w:val="28"/>
      <w:szCs w:val="28"/>
      <w:lang w:val="ru-RU" w:eastAsia="ar-SA" w:bidi="ar-SA"/>
    </w:rPr>
  </w:style>
  <w:style w:type="paragraph" w:styleId="15">
    <w:name w:val="Звичайний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Liberation Serif"/>
      <w:color w:val="000000"/>
      <w:kern w:val="2"/>
      <w:sz w:val="22"/>
      <w:szCs w:val="22"/>
      <w:lang w:val="ru-RU" w:eastAsia="ar-SA" w:bidi="ar-SA"/>
    </w:rPr>
  </w:style>
  <w:style w:type="paragraph" w:styleId="Style32">
    <w:name w:val="Звичайний (веб)"/>
    <w:basedOn w:val="Normal"/>
    <w:qFormat/>
    <w:pPr>
      <w:spacing w:lineRule="auto" w:line="240" w:before="280" w:after="280"/>
    </w:pPr>
    <w:rPr>
      <w:rFonts w:ascii="Times New Roman" w:hAnsi="Times New Roman" w:eastAsia="Times New Roman"/>
      <w:szCs w:val="20"/>
      <w:lang w:eastAsia="ar-SA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hanging="0" w:left="283"/>
    </w:pPr>
    <w:rPr/>
  </w:style>
  <w:style w:type="paragraph" w:styleId="16">
    <w:name w:val="Текст примітки1"/>
    <w:basedOn w:val="Normal"/>
    <w:qFormat/>
    <w:pPr>
      <w:widowControl w:val="false"/>
      <w:suppressAutoHyphens w:val="false"/>
    </w:pPr>
    <w:rPr>
      <w:rFonts w:ascii="Arial" w:hAnsi="Arial" w:eastAsia="Times New Roman"/>
      <w:sz w:val="20"/>
      <w:lang w:eastAsia="ar-SA"/>
    </w:rPr>
  </w:style>
  <w:style w:type="paragraph" w:styleId="17">
    <w:name w:val="Заголовок1"/>
    <w:basedOn w:val="Normal"/>
    <w:qFormat/>
    <w:pPr>
      <w:widowControl w:val="false"/>
      <w:spacing w:lineRule="auto" w:line="216" w:before="0" w:after="0"/>
      <w:ind w:hanging="0" w:right="-6"/>
      <w:jc w:val="center"/>
    </w:pPr>
    <w:rPr>
      <w:rFonts w:ascii="Times New Roman" w:hAnsi="Times New Roman" w:eastAsia="Times New Roman"/>
      <w:b/>
      <w:bCs/>
      <w:sz w:val="28"/>
      <w:lang w:eastAsia="ar-SA"/>
    </w:rPr>
  </w:style>
  <w:style w:type="paragraph" w:styleId="18">
    <w:name w:val="Абзац списка1"/>
    <w:basedOn w:val="Normal"/>
    <w:qFormat/>
    <w:pPr>
      <w:spacing w:lineRule="auto" w:line="252"/>
      <w:ind w:hanging="0" w:left="720"/>
    </w:pPr>
    <w:rPr>
      <w:rFonts w:ascii="Calibri" w:hAnsi="Calibri" w:eastAsia="Times New Roman"/>
      <w:lang w:eastAsia="ar-SA"/>
    </w:rPr>
  </w:style>
  <w:style w:type="paragraph" w:styleId="211">
    <w:name w:val="Основной текст с отступом 21"/>
    <w:basedOn w:val="Normal"/>
    <w:qFormat/>
    <w:pPr>
      <w:spacing w:lineRule="auto" w:line="480" w:before="0" w:after="120"/>
      <w:ind w:hanging="0" w:left="283"/>
    </w:pPr>
    <w:rPr/>
  </w:style>
  <w:style w:type="paragraph" w:styleId="Rvps2">
    <w:name w:val="rvps2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before="0" w:after="0"/>
      <w:ind w:hanging="0" w:left="720"/>
    </w:pPr>
    <w:rPr/>
  </w:style>
  <w:style w:type="paragraph" w:styleId="A">
    <w:name w:val="a"/>
    <w:basedOn w:val="Normal"/>
    <w:qFormat/>
    <w:pPr>
      <w:spacing w:before="280" w:after="280"/>
    </w:pPr>
    <w:rPr>
      <w:lang w:val="ru-RU"/>
    </w:rPr>
  </w:style>
  <w:style w:type="paragraph" w:styleId="Style33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Liberation Serif"/>
      <w:color w:val="auto"/>
      <w:kern w:val="2"/>
      <w:sz w:val="22"/>
      <w:szCs w:val="22"/>
      <w:lang w:val="ru-RU" w:eastAsia="ar-SA" w:bidi="ar-SA"/>
    </w:rPr>
  </w:style>
  <w:style w:type="paragraph" w:styleId="Style34">
    <w:name w:val="Обычный (веб)"/>
    <w:basedOn w:val="Normal"/>
    <w:qFormat/>
    <w:pPr>
      <w:suppressAutoHyphens w:val="false"/>
      <w:spacing w:before="280" w:after="280"/>
    </w:pPr>
    <w:rPr>
      <w:lang w:val="ru-RU"/>
    </w:rPr>
  </w:style>
  <w:style w:type="paragraph" w:styleId="311">
    <w:name w:val="Основной текст с отступом 31"/>
    <w:basedOn w:val="Normal"/>
    <w:qFormat/>
    <w:pPr>
      <w:suppressAutoHyphens w:val="false"/>
      <w:spacing w:before="0" w:after="120"/>
      <w:ind w:firstLine="397" w:left="283"/>
      <w:jc w:val="both"/>
    </w:pPr>
    <w:rPr>
      <w:rFonts w:ascii="Arial" w:hAnsi="Arial" w:eastAsia="Arial"/>
      <w:sz w:val="16"/>
      <w:szCs w:val="16"/>
      <w:lang w:val="ru-RU" w:eastAsia="ar-SA"/>
    </w:rPr>
  </w:style>
  <w:style w:type="paragraph" w:styleId="221">
    <w:name w:val="Основной текст 22"/>
    <w:basedOn w:val="Normal"/>
    <w:qFormat/>
    <w:pPr>
      <w:spacing w:lineRule="auto" w:line="480" w:before="0" w:after="120"/>
    </w:pPr>
    <w:rPr/>
  </w:style>
  <w:style w:type="paragraph" w:styleId="312">
    <w:name w:val="Заголовок 3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Liberation Serif"/>
      <w:color w:val="auto"/>
      <w:kern w:val="2"/>
      <w:sz w:val="24"/>
      <w:szCs w:val="24"/>
      <w:lang w:val="ru-RU" w:eastAsia="ar-SA" w:bidi="ar-SA"/>
    </w:rPr>
  </w:style>
  <w:style w:type="paragraph" w:styleId="212">
    <w:name w:val="Основной текст 21"/>
    <w:basedOn w:val="Normal"/>
    <w:qFormat/>
    <w:pPr>
      <w:jc w:val="both"/>
    </w:pPr>
    <w:rPr>
      <w:sz w:val="22"/>
      <w:lang w:val="ru-RU"/>
    </w:rPr>
  </w:style>
  <w:style w:type="paragraph" w:styleId="Style35">
    <w:name w:val="Нормальний текст"/>
    <w:basedOn w:val="Normal"/>
    <w:qFormat/>
    <w:pPr>
      <w:spacing w:before="120" w:after="0"/>
      <w:ind w:firstLine="567"/>
      <w:jc w:val="both"/>
    </w:pPr>
    <w:rPr>
      <w:rFonts w:ascii="Antiqua" w:hAnsi="Antiqua" w:eastAsia="Antiqua"/>
      <w:sz w:val="26"/>
      <w:lang w:eastAsia="ar-SA"/>
    </w:rPr>
  </w:style>
  <w:style w:type="paragraph" w:styleId="HTML1">
    <w:name w:val="Стандартный HTML"/>
    <w:basedOn w:val="Normal"/>
    <w:qFormat/>
    <w:pPr/>
    <w:rPr>
      <w:rFonts w:ascii="Courier New" w:hAnsi="Courier New" w:eastAsia="Courier New"/>
      <w:sz w:val="20"/>
      <w:lang w:val="ru-RU" w:eastAsia="ar-SA"/>
    </w:rPr>
  </w:style>
  <w:style w:type="paragraph" w:styleId="19">
    <w:name w:val="Указатель1"/>
    <w:basedOn w:val="Normal"/>
    <w:qFormat/>
    <w:pPr/>
    <w:rPr>
      <w:rFonts w:ascii="Arial" w:hAnsi="Arial" w:eastAsia="Tahoma"/>
      <w:lang w:eastAsia="ar-SA"/>
    </w:rPr>
  </w:style>
  <w:style w:type="paragraph" w:styleId="23">
    <w:name w:val="Заголовок2"/>
    <w:basedOn w:val="Normal"/>
    <w:qFormat/>
    <w:pPr>
      <w:keepNext w:val="true"/>
      <w:spacing w:before="240" w:after="120"/>
    </w:pPr>
    <w:rPr>
      <w:rFonts w:ascii="Arial" w:hAnsi="Arial" w:eastAsia="Tahoma"/>
      <w:sz w:val="28"/>
      <w:szCs w:val="28"/>
      <w:lang w:eastAsia="ar-SA"/>
    </w:rPr>
  </w:style>
  <w:style w:type="paragraph" w:styleId="24">
    <w:name w:val="Указатель2"/>
    <w:basedOn w:val="Normal"/>
    <w:qFormat/>
    <w:pPr/>
    <w:rPr>
      <w:rFonts w:eastAsia="Mangal"/>
      <w:lang w:eastAsia="ar-SA"/>
    </w:rPr>
  </w:style>
  <w:style w:type="paragraph" w:styleId="110">
    <w:name w:val="Название1"/>
    <w:basedOn w:val="Normal"/>
    <w:qFormat/>
    <w:pPr>
      <w:spacing w:before="120" w:after="120"/>
    </w:pPr>
    <w:rPr>
      <w:rFonts w:ascii="Arial" w:hAnsi="Arial" w:eastAsia="Tahoma"/>
      <w:i/>
      <w:iCs/>
      <w:sz w:val="20"/>
      <w:lang w:eastAsia="ar-SA"/>
    </w:rPr>
  </w:style>
  <w:style w:type="paragraph" w:styleId="34">
    <w:name w:val="Указатель3"/>
    <w:basedOn w:val="Normal"/>
    <w:qFormat/>
    <w:pPr/>
    <w:rPr>
      <w:rFonts w:eastAsia="Mangal"/>
      <w:lang w:eastAsia="ar-SA"/>
    </w:rPr>
  </w:style>
  <w:style w:type="paragraph" w:styleId="Style36">
    <w:name w:val="Название объекта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styleId="BodyText3">
    <w:name w:val="Body Text 3"/>
    <w:basedOn w:val="Normal"/>
    <w:qFormat/>
    <w:pPr>
      <w:spacing w:before="0" w:after="120"/>
    </w:pPr>
    <w:rPr>
      <w:sz w:val="16"/>
    </w:rPr>
  </w:style>
  <w:style w:type="paragraph" w:styleId="BodyTextIndent3">
    <w:name w:val="Body Text Indent 3"/>
    <w:basedOn w:val="Normal"/>
    <w:qFormat/>
    <w:pPr>
      <w:spacing w:before="0" w:after="120"/>
      <w:ind w:hanging="0" w:left="283"/>
    </w:pPr>
    <w:rPr>
      <w:sz w:val="16"/>
    </w:rPr>
  </w:style>
  <w:style w:type="paragraph" w:styleId="HTMLPreformatted">
    <w:name w:val="HTML Preformatte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  <w:sz w:val="20"/>
      <w:szCs w:val="20"/>
      <w:lang w:eastAsia="ar-SA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0"/>
      <w:szCs w:val="22"/>
      <w:lang w:val="ru-RU" w:eastAsia="en-US" w:bidi="ar-SA"/>
    </w:rPr>
  </w:style>
  <w:style w:type="paragraph" w:styleId="Annotationtext">
    <w:name w:val="annotation text"/>
    <w:basedOn w:val="Normal"/>
    <w:qFormat/>
    <w:pPr>
      <w:spacing w:lineRule="exact" w:line="240"/>
    </w:pPr>
    <w:rPr>
      <w:sz w:val="20"/>
    </w:rPr>
  </w:style>
  <w:style w:type="paragraph" w:styleId="Tj">
    <w:name w:val="tj"/>
    <w:basedOn w:val="Normal"/>
    <w:qFormat/>
    <w:pPr>
      <w:spacing w:lineRule="exact" w:line="240" w:before="280" w:after="280"/>
    </w:pPr>
    <w:rPr>
      <w:rFonts w:ascii="Times New Roman" w:hAnsi="Times New Roman" w:eastAsia="Times New Roman"/>
      <w:lang w:eastAsia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Application>LibreOffice/7.6.6.3$Windows_X86_64 LibreOffice_project/d97b2716a9a4a2ce1391dee1765565ea469b0ae7</Application>
  <AppVersion>15.0000</AppVersion>
  <Pages>3</Pages>
  <Words>1369</Words>
  <Characters>9959</Characters>
  <CharactersWithSpaces>11302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ugkh5</dc:creator>
  <dc:description/>
  <dc:language>uk-UA</dc:language>
  <cp:lastModifiedBy/>
  <cp:lastPrinted>2024-09-10T14:32:45Z</cp:lastPrinted>
  <dcterms:modified xsi:type="dcterms:W3CDTF">2024-09-19T15:04:54Z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